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67" w:rsidRDefault="00A93567" w:rsidP="00A93567">
      <w:pPr>
        <w:rPr>
          <w:rFonts w:ascii="Calibri" w:hAnsi="Calibri" w:cs="Calibri"/>
          <w:color w:val="1F497D"/>
          <w:sz w:val="22"/>
          <w:szCs w:val="22"/>
        </w:rPr>
      </w:pPr>
    </w:p>
    <w:p w:rsidR="00A93567" w:rsidRDefault="00A93567" w:rsidP="00A93567"/>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93567" w:rsidTr="00A93567">
        <w:trPr>
          <w:tblCellSpacing w:w="0" w:type="dxa"/>
          <w:jc w:val="center"/>
        </w:trPr>
        <w:tc>
          <w:tcPr>
            <w:tcW w:w="0" w:type="auto"/>
            <w:shd w:val="clear" w:color="auto" w:fill="FFFFFF"/>
            <w:vAlign w:val="center"/>
          </w:tcPr>
          <w:tbl>
            <w:tblPr>
              <w:tblW w:w="0" w:type="auto"/>
              <w:tblCellSpacing w:w="0" w:type="dxa"/>
              <w:shd w:val="clear" w:color="auto" w:fill="CED9DD"/>
              <w:tblCellMar>
                <w:left w:w="0" w:type="dxa"/>
                <w:right w:w="0" w:type="dxa"/>
              </w:tblCellMar>
              <w:tblLook w:val="04A0" w:firstRow="1" w:lastRow="0" w:firstColumn="1" w:lastColumn="0" w:noHBand="0" w:noVBand="1"/>
            </w:tblPr>
            <w:tblGrid>
              <w:gridCol w:w="300"/>
              <w:gridCol w:w="1500"/>
              <w:gridCol w:w="269"/>
              <w:gridCol w:w="4742"/>
              <w:gridCol w:w="2040"/>
              <w:gridCol w:w="149"/>
            </w:tblGrid>
            <w:tr w:rsidR="00A93567">
              <w:trPr>
                <w:trHeight w:val="240"/>
                <w:tblCellSpacing w:w="0" w:type="dxa"/>
              </w:trPr>
              <w:tc>
                <w:tcPr>
                  <w:tcW w:w="0" w:type="auto"/>
                  <w:gridSpan w:val="6"/>
                  <w:shd w:val="clear" w:color="auto" w:fill="CED9DD"/>
                  <w:vAlign w:val="center"/>
                  <w:hideMark/>
                </w:tcPr>
                <w:p w:rsidR="00A93567" w:rsidRDefault="00A93567">
                  <w:pPr>
                    <w:rPr>
                      <w:rFonts w:eastAsia="Times New Roman"/>
                      <w:color w:val="auto"/>
                      <w:sz w:val="20"/>
                      <w:szCs w:val="20"/>
                    </w:rPr>
                  </w:pPr>
                </w:p>
              </w:tc>
            </w:tr>
            <w:tr w:rsidR="00A93567">
              <w:trPr>
                <w:tblCellSpacing w:w="0" w:type="dxa"/>
              </w:trPr>
              <w:tc>
                <w:tcPr>
                  <w:tcW w:w="300" w:type="dxa"/>
                  <w:vMerge w:val="restart"/>
                  <w:shd w:val="clear" w:color="auto" w:fill="CED9DD"/>
                  <w:hideMark/>
                </w:tcPr>
                <w:p w:rsidR="00A93567" w:rsidRDefault="00A93567">
                  <w:pPr>
                    <w:rPr>
                      <w:rFonts w:eastAsia="Times New Roman"/>
                      <w:color w:val="auto"/>
                      <w:sz w:val="20"/>
                      <w:szCs w:val="20"/>
                    </w:rPr>
                  </w:pPr>
                </w:p>
              </w:tc>
              <w:tc>
                <w:tcPr>
                  <w:tcW w:w="1500" w:type="dxa"/>
                  <w:vMerge w:val="restart"/>
                  <w:shd w:val="clear" w:color="auto" w:fill="CED9DD"/>
                  <w:hideMark/>
                </w:tcPr>
                <w:p w:rsidR="00A93567" w:rsidRDefault="00A93567">
                  <w:pPr>
                    <w:rPr>
                      <w:rFonts w:ascii="Trebuchet MS" w:hAnsi="Trebuchet MS"/>
                    </w:rPr>
                  </w:pPr>
                  <w:r>
                    <w:rPr>
                      <w:rFonts w:ascii="Trebuchet MS" w:hAnsi="Trebuchet MS"/>
                      <w:noProof/>
                    </w:rPr>
                    <w:drawing>
                      <wp:inline distT="0" distB="0" distL="0" distR="0">
                        <wp:extent cx="948055" cy="711200"/>
                        <wp:effectExtent l="0" t="0" r="4445" b="0"/>
                        <wp:docPr id="2" name="Picture 2" descr="http://www.researchprofessional.com/images/magazine/3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earchprofessional.com/images/magazine/33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055" cy="711200"/>
                                </a:xfrm>
                                <a:prstGeom prst="rect">
                                  <a:avLst/>
                                </a:prstGeom>
                                <a:noFill/>
                                <a:ln>
                                  <a:noFill/>
                                </a:ln>
                              </pic:spPr>
                            </pic:pic>
                          </a:graphicData>
                        </a:graphic>
                      </wp:inline>
                    </w:drawing>
                  </w:r>
                </w:p>
              </w:tc>
              <w:tc>
                <w:tcPr>
                  <w:tcW w:w="270" w:type="dxa"/>
                  <w:vMerge w:val="restart"/>
                  <w:shd w:val="clear" w:color="auto" w:fill="CED9DD"/>
                  <w:hideMark/>
                </w:tcPr>
                <w:p w:rsidR="00A93567" w:rsidRDefault="00A93567">
                  <w:pPr>
                    <w:rPr>
                      <w:rFonts w:eastAsia="Times New Roman"/>
                      <w:color w:val="auto"/>
                      <w:sz w:val="20"/>
                      <w:szCs w:val="20"/>
                    </w:rPr>
                  </w:pPr>
                </w:p>
              </w:tc>
              <w:tc>
                <w:tcPr>
                  <w:tcW w:w="4755" w:type="dxa"/>
                  <w:shd w:val="clear" w:color="auto" w:fill="CED9DD"/>
                  <w:hideMark/>
                </w:tcPr>
                <w:p w:rsidR="00A93567" w:rsidRDefault="00A93567">
                  <w:pPr>
                    <w:rPr>
                      <w:rFonts w:ascii="Trebuchet MS" w:hAnsi="Trebuchet MS"/>
                    </w:rPr>
                  </w:pPr>
                  <w:r>
                    <w:rPr>
                      <w:rFonts w:ascii="Trebuchet MS" w:hAnsi="Trebuchet MS"/>
                      <w:sz w:val="27"/>
                      <w:szCs w:val="27"/>
                    </w:rPr>
                    <w:t>02 Oct 12</w:t>
                  </w:r>
                </w:p>
              </w:tc>
              <w:tc>
                <w:tcPr>
                  <w:tcW w:w="2025" w:type="dxa"/>
                  <w:vMerge w:val="restart"/>
                  <w:shd w:val="clear" w:color="auto" w:fill="CED9DD"/>
                  <w:hideMark/>
                </w:tcPr>
                <w:p w:rsidR="00A93567" w:rsidRDefault="00A93567">
                  <w:pPr>
                    <w:rPr>
                      <w:rFonts w:ascii="Trebuchet MS" w:hAnsi="Trebuchet MS"/>
                    </w:rPr>
                  </w:pPr>
                  <w:r>
                    <w:rPr>
                      <w:rFonts w:ascii="Trebuchet MS" w:hAnsi="Trebuchet MS"/>
                      <w:noProof/>
                    </w:rPr>
                    <w:drawing>
                      <wp:inline distT="0" distB="0" distL="0" distR="0">
                        <wp:extent cx="1287145" cy="144145"/>
                        <wp:effectExtent l="0" t="0" r="8255" b="8255"/>
                        <wp:docPr id="1" name="Picture 1" descr="A Research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search Publ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145" cy="144145"/>
                                </a:xfrm>
                                <a:prstGeom prst="rect">
                                  <a:avLst/>
                                </a:prstGeom>
                                <a:noFill/>
                                <a:ln>
                                  <a:noFill/>
                                </a:ln>
                              </pic:spPr>
                            </pic:pic>
                          </a:graphicData>
                        </a:graphic>
                      </wp:inline>
                    </w:drawing>
                  </w:r>
                </w:p>
              </w:tc>
              <w:tc>
                <w:tcPr>
                  <w:tcW w:w="150" w:type="dxa"/>
                  <w:vMerge w:val="restart"/>
                  <w:shd w:val="clear" w:color="auto" w:fill="CED9DD"/>
                  <w:hideMark/>
                </w:tcPr>
                <w:p w:rsidR="00A93567" w:rsidRDefault="00A93567">
                  <w:pPr>
                    <w:rPr>
                      <w:rFonts w:eastAsia="Times New Roman"/>
                      <w:color w:val="auto"/>
                      <w:sz w:val="20"/>
                      <w:szCs w:val="20"/>
                    </w:rPr>
                  </w:pPr>
                </w:p>
              </w:tc>
            </w:tr>
            <w:tr w:rsidR="00A93567">
              <w:trPr>
                <w:tblCellSpacing w:w="0" w:type="dxa"/>
              </w:trPr>
              <w:tc>
                <w:tcPr>
                  <w:tcW w:w="0" w:type="auto"/>
                  <w:vMerge/>
                  <w:shd w:val="clear" w:color="auto" w:fill="CED9DD"/>
                  <w:vAlign w:val="center"/>
                  <w:hideMark/>
                </w:tcPr>
                <w:p w:rsidR="00A93567" w:rsidRDefault="00A93567">
                  <w:pPr>
                    <w:rPr>
                      <w:rFonts w:eastAsia="Times New Roman"/>
                      <w:color w:val="auto"/>
                      <w:sz w:val="20"/>
                      <w:szCs w:val="20"/>
                    </w:rPr>
                  </w:pPr>
                </w:p>
              </w:tc>
              <w:tc>
                <w:tcPr>
                  <w:tcW w:w="0" w:type="auto"/>
                  <w:vMerge/>
                  <w:shd w:val="clear" w:color="auto" w:fill="CED9DD"/>
                  <w:vAlign w:val="center"/>
                  <w:hideMark/>
                </w:tcPr>
                <w:p w:rsidR="00A93567" w:rsidRDefault="00A93567">
                  <w:pPr>
                    <w:rPr>
                      <w:rFonts w:ascii="Trebuchet MS" w:hAnsi="Trebuchet MS"/>
                    </w:rPr>
                  </w:pPr>
                </w:p>
              </w:tc>
              <w:tc>
                <w:tcPr>
                  <w:tcW w:w="0" w:type="auto"/>
                  <w:vMerge/>
                  <w:shd w:val="clear" w:color="auto" w:fill="CED9DD"/>
                  <w:vAlign w:val="center"/>
                  <w:hideMark/>
                </w:tcPr>
                <w:p w:rsidR="00A93567" w:rsidRDefault="00A93567">
                  <w:pPr>
                    <w:rPr>
                      <w:rFonts w:eastAsia="Times New Roman"/>
                      <w:color w:val="auto"/>
                      <w:sz w:val="20"/>
                      <w:szCs w:val="20"/>
                    </w:rPr>
                  </w:pPr>
                </w:p>
              </w:tc>
              <w:tc>
                <w:tcPr>
                  <w:tcW w:w="0" w:type="auto"/>
                  <w:shd w:val="clear" w:color="auto" w:fill="CED9DD"/>
                  <w:vAlign w:val="bottom"/>
                  <w:hideMark/>
                </w:tcPr>
                <w:p w:rsidR="00A93567" w:rsidRDefault="00A93567">
                  <w:pPr>
                    <w:rPr>
                      <w:rFonts w:ascii="Trebuchet MS" w:hAnsi="Trebuchet MS"/>
                    </w:rPr>
                  </w:pPr>
                  <w:r>
                    <w:rPr>
                      <w:rFonts w:ascii="Trebuchet MS" w:hAnsi="Trebuchet MS"/>
                    </w:rPr>
                    <w:t>FNES Early Career Newsletter</w:t>
                  </w:r>
                  <w:r>
                    <w:rPr>
                      <w:rFonts w:ascii="Trebuchet MS" w:hAnsi="Trebuchet MS"/>
                    </w:rPr>
                    <w:br/>
                  </w:r>
                  <w:r>
                    <w:rPr>
                      <w:rFonts w:ascii="Trebuchet MS" w:hAnsi="Trebuchet MS"/>
                      <w:color w:val="062068"/>
                      <w:sz w:val="18"/>
                      <w:szCs w:val="18"/>
                    </w:rPr>
                    <w:t>Stephen Kemp (username: sck1a11)</w:t>
                  </w:r>
                </w:p>
              </w:tc>
              <w:tc>
                <w:tcPr>
                  <w:tcW w:w="0" w:type="auto"/>
                  <w:vMerge/>
                  <w:shd w:val="clear" w:color="auto" w:fill="CED9DD"/>
                  <w:vAlign w:val="center"/>
                  <w:hideMark/>
                </w:tcPr>
                <w:p w:rsidR="00A93567" w:rsidRDefault="00A93567">
                  <w:pPr>
                    <w:rPr>
                      <w:rFonts w:ascii="Trebuchet MS" w:hAnsi="Trebuchet MS"/>
                    </w:rPr>
                  </w:pPr>
                </w:p>
              </w:tc>
              <w:tc>
                <w:tcPr>
                  <w:tcW w:w="0" w:type="auto"/>
                  <w:vMerge/>
                  <w:shd w:val="clear" w:color="auto" w:fill="CED9DD"/>
                  <w:vAlign w:val="center"/>
                  <w:hideMark/>
                </w:tcPr>
                <w:p w:rsidR="00A93567" w:rsidRDefault="00A93567">
                  <w:pPr>
                    <w:rPr>
                      <w:rFonts w:eastAsia="Times New Roman"/>
                      <w:color w:val="auto"/>
                      <w:sz w:val="20"/>
                      <w:szCs w:val="20"/>
                    </w:rPr>
                  </w:pPr>
                </w:p>
              </w:tc>
            </w:tr>
            <w:tr w:rsidR="00A93567">
              <w:trPr>
                <w:trHeight w:val="300"/>
                <w:tblCellSpacing w:w="0" w:type="dxa"/>
              </w:trPr>
              <w:tc>
                <w:tcPr>
                  <w:tcW w:w="0" w:type="auto"/>
                  <w:gridSpan w:val="6"/>
                  <w:shd w:val="clear" w:color="auto" w:fill="CED9DD"/>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A93567">
              <w:trPr>
                <w:trHeight w:val="300"/>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p>
          <w:tbl>
            <w:tblPr>
              <w:tblW w:w="0" w:type="auto"/>
              <w:tblCellSpacing w:w="0" w:type="dxa"/>
              <w:tblCellMar>
                <w:left w:w="0" w:type="dxa"/>
                <w:right w:w="0" w:type="dxa"/>
              </w:tblCellMar>
              <w:tblLook w:val="04A0" w:firstRow="1" w:lastRow="0" w:firstColumn="1" w:lastColumn="0" w:noHBand="0" w:noVBand="1"/>
            </w:tblPr>
            <w:tblGrid>
              <w:gridCol w:w="9000"/>
            </w:tblGrid>
            <w:tr w:rsidR="00A93567">
              <w:trPr>
                <w:tblCellSpacing w:w="0" w:type="dxa"/>
              </w:trPr>
              <w:tc>
                <w:tcPr>
                  <w:tcW w:w="9000" w:type="dxa"/>
                </w:tcPr>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Align w:val="center"/>
                        <w:hideMark/>
                      </w:tcPr>
                      <w:p w:rsidR="00A93567" w:rsidRDefault="00A93567">
                        <w:pPr>
                          <w:rPr>
                            <w:rFonts w:eastAsia="Times New Roman"/>
                            <w:color w:val="auto"/>
                            <w:sz w:val="20"/>
                            <w:szCs w:val="20"/>
                          </w:rPr>
                        </w:pPr>
                      </w:p>
                    </w:tc>
                    <w:tc>
                      <w:tcPr>
                        <w:tcW w:w="8775" w:type="dxa"/>
                        <w:vAlign w:val="center"/>
                        <w:hideMark/>
                      </w:tcPr>
                      <w:p w:rsidR="00A93567" w:rsidRDefault="00A93567">
                        <w:pPr>
                          <w:rPr>
                            <w:rFonts w:ascii="Trebuchet MS" w:hAnsi="Trebuchet MS"/>
                          </w:rPr>
                        </w:pPr>
                        <w:r>
                          <w:rPr>
                            <w:rFonts w:ascii="Trebuchet MS" w:hAnsi="Trebuchet MS"/>
                            <w:color w:val="062068"/>
                            <w:sz w:val="21"/>
                            <w:szCs w:val="21"/>
                          </w:rPr>
                          <w:t>Early career</w:t>
                        </w:r>
                        <w:r>
                          <w:rPr>
                            <w:rFonts w:ascii="Trebuchet MS" w:hAnsi="Trebuchet MS"/>
                          </w:rPr>
                          <w:t xml:space="preserve"> </w:t>
                        </w:r>
                      </w:p>
                    </w:tc>
                  </w:tr>
                  <w:tr w:rsidR="00A93567">
                    <w:trPr>
                      <w:trHeight w:val="45"/>
                      <w:tblCellSpacing w:w="0" w:type="dxa"/>
                    </w:trPr>
                    <w:tc>
                      <w:tcPr>
                        <w:tcW w:w="0" w:type="auto"/>
                        <w:gridSpan w:val="2"/>
                        <w:vAlign w:val="center"/>
                        <w:hideMark/>
                      </w:tcPr>
                      <w:p w:rsidR="00A93567" w:rsidRDefault="00A93567">
                        <w:pPr>
                          <w:rPr>
                            <w:rFonts w:eastAsia="Times New Roman"/>
                            <w:color w:val="auto"/>
                            <w:sz w:val="20"/>
                            <w:szCs w:val="20"/>
                          </w:rPr>
                        </w:pPr>
                      </w:p>
                    </w:tc>
                  </w:tr>
                  <w:tr w:rsidR="00A93567">
                    <w:trPr>
                      <w:trHeight w:val="30"/>
                      <w:tblCellSpacing w:w="0" w:type="dxa"/>
                    </w:trPr>
                    <w:tc>
                      <w:tcPr>
                        <w:tcW w:w="0" w:type="auto"/>
                        <w:gridSpan w:val="2"/>
                        <w:shd w:val="clear" w:color="auto" w:fill="062068"/>
                        <w:vAlign w:val="center"/>
                        <w:hideMark/>
                      </w:tcPr>
                      <w:p w:rsidR="00A93567" w:rsidRDefault="00A93567">
                        <w:pPr>
                          <w:rPr>
                            <w:rFonts w:eastAsia="Times New Roman"/>
                            <w:color w:val="auto"/>
                            <w:sz w:val="20"/>
                            <w:szCs w:val="20"/>
                          </w:rPr>
                        </w:pPr>
                      </w:p>
                    </w:tc>
                  </w:tr>
                  <w:tr w:rsidR="00A93567">
                    <w:trPr>
                      <w:trHeight w:val="105"/>
                      <w:tblCellSpacing w:w="0" w:type="dxa"/>
                    </w:trPr>
                    <w:tc>
                      <w:tcPr>
                        <w:tcW w:w="0" w:type="auto"/>
                        <w:gridSpan w:val="2"/>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7" w:history="1">
                          <w:r>
                            <w:rPr>
                              <w:rStyle w:val="Hyperlink"/>
                              <w:rFonts w:ascii="Trebuchet MS" w:hAnsi="Trebuchet MS"/>
                              <w:b/>
                              <w:bCs/>
                              <w:color w:val="000000"/>
                              <w:sz w:val="18"/>
                              <w:szCs w:val="18"/>
                              <w:u w:val="none"/>
                            </w:rPr>
                            <w:t>JOINT EPSRC AND PARLIAMENTARY OFFICE OF SCIENCE AND TECHNOLOGY POSTGRADUATE INITIATIVE</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8" w:history="1">
                          <w:r>
                            <w:rPr>
                              <w:rStyle w:val="Hyperlink"/>
                              <w:rFonts w:ascii="Trebuchet MS" w:hAnsi="Trebuchet MS"/>
                              <w:b/>
                              <w:bCs/>
                              <w:color w:val="000000"/>
                              <w:sz w:val="17"/>
                              <w:szCs w:val="17"/>
                              <w:u w:val="none"/>
                            </w:rPr>
                            <w:t>Engineering and Physical Sciences Research Council, GB</w:t>
                          </w:r>
                          <w:r>
                            <w:rPr>
                              <w:rFonts w:ascii="Trebuchet MS" w:hAnsi="Trebuchet MS"/>
                              <w:sz w:val="17"/>
                              <w:szCs w:val="17"/>
                            </w:rPr>
                            <w:br/>
                          </w:r>
                          <w:r>
                            <w:rPr>
                              <w:rStyle w:val="Hyperlink"/>
                              <w:rFonts w:ascii="Trebuchet MS" w:hAnsi="Trebuchet MS"/>
                              <w:color w:val="000000"/>
                              <w:sz w:val="17"/>
                              <w:szCs w:val="17"/>
                              <w:u w:val="none"/>
                            </w:rPr>
                            <w:t xml:space="preserve">The initiative enables EPSRC-funded doctoral students to undertake a three-month placement at the Parliamentary Office of Science and Technology. The award offers a three-month extension to the fellow's PhD funding.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9"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03 Oct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0" w:history="1">
                          <w:r>
                            <w:rPr>
                              <w:rStyle w:val="Hyperlink"/>
                              <w:rFonts w:ascii="Trebuchet MS" w:hAnsi="Trebuchet MS"/>
                              <w:b/>
                              <w:bCs/>
                              <w:color w:val="000000"/>
                              <w:sz w:val="18"/>
                              <w:szCs w:val="18"/>
                              <w:u w:val="none"/>
                            </w:rPr>
                            <w:t>BBSRC/RSE ENTERPRISE FELLOWSHIPS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1" w:history="1">
                          <w:r>
                            <w:rPr>
                              <w:rStyle w:val="Hyperlink"/>
                              <w:rFonts w:ascii="Trebuchet MS" w:hAnsi="Trebuchet MS"/>
                              <w:b/>
                              <w:bCs/>
                              <w:color w:val="000000"/>
                              <w:sz w:val="17"/>
                              <w:szCs w:val="17"/>
                              <w:u w:val="none"/>
                            </w:rPr>
                            <w:t>Biotechnology and Biological Sciences Research Council, GB</w:t>
                          </w:r>
                          <w:r>
                            <w:rPr>
                              <w:rFonts w:ascii="Trebuchet MS" w:hAnsi="Trebuchet MS"/>
                              <w:sz w:val="17"/>
                              <w:szCs w:val="17"/>
                            </w:rPr>
                            <w:br/>
                          </w:r>
                          <w:r>
                            <w:rPr>
                              <w:rStyle w:val="Hyperlink"/>
                              <w:rFonts w:ascii="Trebuchet MS" w:hAnsi="Trebuchet MS"/>
                              <w:color w:val="000000"/>
                              <w:sz w:val="17"/>
                              <w:szCs w:val="17"/>
                              <w:u w:val="none"/>
                            </w:rPr>
                            <w:t xml:space="preserve">These help increase exploitation of ideas with commercial potential from BBSRC-supported research, and enable individuals to advance the commercialisation of existing research results or technological developments. They provide a salary, currently in the range of £24,520 to £37,012, plus up to £10,000 in travel, consumables and equipment costs.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12"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08 Oct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3" w:history="1">
                          <w:r>
                            <w:rPr>
                              <w:rStyle w:val="Hyperlink"/>
                              <w:rFonts w:ascii="Trebuchet MS" w:hAnsi="Trebuchet MS"/>
                              <w:b/>
                              <w:bCs/>
                              <w:color w:val="000000"/>
                              <w:sz w:val="18"/>
                              <w:szCs w:val="18"/>
                              <w:u w:val="none"/>
                            </w:rPr>
                            <w:t>CAREER DEVELOPMENT AWARD</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4" w:history="1">
                          <w:r>
                            <w:rPr>
                              <w:rStyle w:val="Hyperlink"/>
                              <w:rFonts w:ascii="Trebuchet MS" w:hAnsi="Trebuchet MS"/>
                              <w:b/>
                              <w:bCs/>
                              <w:color w:val="000000"/>
                              <w:sz w:val="17"/>
                              <w:szCs w:val="17"/>
                              <w:u w:val="none"/>
                            </w:rPr>
                            <w:t>Medical Research Council, GB</w:t>
                          </w:r>
                          <w:r>
                            <w:rPr>
                              <w:rFonts w:ascii="Trebuchet MS" w:hAnsi="Trebuchet MS"/>
                              <w:sz w:val="17"/>
                              <w:szCs w:val="17"/>
                            </w:rPr>
                            <w:br/>
                          </w:r>
                          <w:r>
                            <w:rPr>
                              <w:rStyle w:val="Hyperlink"/>
                              <w:rFonts w:ascii="Trebuchet MS" w:hAnsi="Trebuchet MS"/>
                              <w:color w:val="000000"/>
                              <w:sz w:val="17"/>
                              <w:szCs w:val="17"/>
                              <w:u w:val="none"/>
                            </w:rPr>
                            <w:t xml:space="preserve">This provides up to five years' support for postdoctoral researchers who wish to consolidate their research skills and make the transition to independent investigator. The award, which must be held in the UK, provides salary, support staff, consumables, travel costs and capital equipment under full economic costs.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15"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10 Oct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6" w:history="1">
                          <w:r>
                            <w:rPr>
                              <w:rStyle w:val="Hyperlink"/>
                              <w:rFonts w:ascii="Trebuchet MS" w:hAnsi="Trebuchet MS"/>
                              <w:b/>
                              <w:bCs/>
                              <w:color w:val="000000"/>
                              <w:sz w:val="18"/>
                              <w:szCs w:val="18"/>
                              <w:u w:val="none"/>
                            </w:rPr>
                            <w:t>POLICY INTERNSHIP SCHEME</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7" w:history="1">
                          <w:r>
                            <w:rPr>
                              <w:rStyle w:val="Hyperlink"/>
                              <w:rFonts w:ascii="Trebuchet MS" w:hAnsi="Trebuchet MS"/>
                              <w:b/>
                              <w:bCs/>
                              <w:color w:val="000000"/>
                              <w:sz w:val="17"/>
                              <w:szCs w:val="17"/>
                              <w:u w:val="none"/>
                            </w:rPr>
                            <w:t>Medical Research Council, GB</w:t>
                          </w:r>
                          <w:r>
                            <w:rPr>
                              <w:rFonts w:ascii="Trebuchet MS" w:hAnsi="Trebuchet MS"/>
                              <w:sz w:val="17"/>
                              <w:szCs w:val="17"/>
                            </w:rPr>
                            <w:br/>
                          </w:r>
                          <w:r>
                            <w:rPr>
                              <w:rStyle w:val="Hyperlink"/>
                              <w:rFonts w:ascii="Trebuchet MS" w:hAnsi="Trebuchet MS"/>
                              <w:color w:val="000000"/>
                              <w:sz w:val="17"/>
                              <w:szCs w:val="17"/>
                              <w:u w:val="none"/>
                            </w:rPr>
                            <w:t xml:space="preserve">This gives MRC-funded PhD students the opportunity to undertake a three-month policy internship at the Academy of Medical Science offices in central London. Students will be supported by a three-month extension to their MRC PhD stipend while they are based at the academy.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18"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31 Oct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19" w:history="1">
                          <w:r>
                            <w:rPr>
                              <w:rStyle w:val="Hyperlink"/>
                              <w:rFonts w:ascii="Trebuchet MS" w:hAnsi="Trebuchet MS"/>
                              <w:b/>
                              <w:bCs/>
                              <w:color w:val="000000"/>
                              <w:sz w:val="18"/>
                              <w:szCs w:val="18"/>
                              <w:u w:val="none"/>
                            </w:rPr>
                            <w:t>INDEPENDENT RESEARCH FELLOWSHIPS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0" w:history="1">
                          <w:r>
                            <w:rPr>
                              <w:rStyle w:val="Hyperlink"/>
                              <w:rFonts w:ascii="Trebuchet MS" w:hAnsi="Trebuchet MS"/>
                              <w:b/>
                              <w:bCs/>
                              <w:color w:val="000000"/>
                              <w:sz w:val="17"/>
                              <w:szCs w:val="17"/>
                              <w:u w:val="none"/>
                            </w:rPr>
                            <w:t>Natural Environment Research Council (NERC), GB</w:t>
                          </w:r>
                          <w:r>
                            <w:rPr>
                              <w:rFonts w:ascii="Trebuchet MS" w:hAnsi="Trebuchet MS"/>
                              <w:sz w:val="17"/>
                              <w:szCs w:val="17"/>
                            </w:rPr>
                            <w:br/>
                          </w:r>
                          <w:r>
                            <w:rPr>
                              <w:rStyle w:val="Hyperlink"/>
                              <w:rFonts w:ascii="Trebuchet MS" w:hAnsi="Trebuchet MS"/>
                              <w:color w:val="000000"/>
                              <w:sz w:val="17"/>
                              <w:szCs w:val="17"/>
                              <w:u w:val="none"/>
                            </w:rPr>
                            <w:t xml:space="preserve">These fellowships are designed to develop scientific leadership among the most promising early-career environmental scientists, by giving them five years’ support, which will allow them sufficient time to develop their research programmes, and to establish international recognition.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21"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01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2" w:history="1">
                          <w:r>
                            <w:rPr>
                              <w:rStyle w:val="Hyperlink"/>
                              <w:rFonts w:ascii="Trebuchet MS" w:hAnsi="Trebuchet MS"/>
                              <w:b/>
                              <w:bCs/>
                              <w:color w:val="000000"/>
                              <w:sz w:val="18"/>
                              <w:szCs w:val="18"/>
                              <w:u w:val="none"/>
                            </w:rPr>
                            <w:t>SIR HENRY DALE FELLOWSHIPS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3" w:history="1">
                          <w:proofErr w:type="spellStart"/>
                          <w:r>
                            <w:rPr>
                              <w:rStyle w:val="Hyperlink"/>
                              <w:rFonts w:ascii="Trebuchet MS" w:hAnsi="Trebuchet MS"/>
                              <w:b/>
                              <w:bCs/>
                              <w:color w:val="000000"/>
                              <w:sz w:val="17"/>
                              <w:szCs w:val="17"/>
                              <w:u w:val="none"/>
                            </w:rPr>
                            <w:t>Wellcome</w:t>
                          </w:r>
                          <w:proofErr w:type="spellEnd"/>
                          <w:r>
                            <w:rPr>
                              <w:rStyle w:val="Hyperlink"/>
                              <w:rFonts w:ascii="Trebuchet MS" w:hAnsi="Trebuchet MS"/>
                              <w:b/>
                              <w:bCs/>
                              <w:color w:val="000000"/>
                              <w:sz w:val="17"/>
                              <w:szCs w:val="17"/>
                              <w:u w:val="none"/>
                            </w:rPr>
                            <w:t xml:space="preserve"> Trust, GB</w:t>
                          </w:r>
                          <w:r>
                            <w:rPr>
                              <w:rFonts w:ascii="Trebuchet MS" w:hAnsi="Trebuchet MS"/>
                              <w:sz w:val="17"/>
                              <w:szCs w:val="17"/>
                            </w:rPr>
                            <w:br/>
                          </w:r>
                          <w:r>
                            <w:rPr>
                              <w:rStyle w:val="Hyperlink"/>
                              <w:rFonts w:ascii="Trebuchet MS" w:hAnsi="Trebuchet MS"/>
                              <w:color w:val="000000"/>
                              <w:sz w:val="17"/>
                              <w:szCs w:val="17"/>
                              <w:u w:val="none"/>
                            </w:rPr>
                            <w:t xml:space="preserve">These enable outstanding postdoctoral scientists who wish to build their own UK-based independent research career to address an important biomedical question. Funding covers a basic salary plus an enhancement of £7,500 per annum; research expenses, including research assistance if required; travel and subsistence for collaborative travel or scientifically justified overseas visits; and overseas allowances where appropriate.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24"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01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5" w:history="1">
                          <w:r>
                            <w:rPr>
                              <w:rStyle w:val="Hyperlink"/>
                              <w:rFonts w:ascii="Trebuchet MS" w:hAnsi="Trebuchet MS"/>
                              <w:b/>
                              <w:bCs/>
                              <w:color w:val="000000"/>
                              <w:sz w:val="18"/>
                              <w:szCs w:val="18"/>
                              <w:u w:val="none"/>
                            </w:rPr>
                            <w:t>EARLY POSTDOCTORAL TRAINING FELLOWSHIPS FOR CLINICIAN SCIENTISTS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6" w:history="1">
                          <w:proofErr w:type="spellStart"/>
                          <w:r>
                            <w:rPr>
                              <w:rStyle w:val="Hyperlink"/>
                              <w:rFonts w:ascii="Trebuchet MS" w:hAnsi="Trebuchet MS"/>
                              <w:b/>
                              <w:bCs/>
                              <w:color w:val="000000"/>
                              <w:sz w:val="17"/>
                              <w:szCs w:val="17"/>
                              <w:u w:val="none"/>
                            </w:rPr>
                            <w:t>Wellcome</w:t>
                          </w:r>
                          <w:proofErr w:type="spellEnd"/>
                          <w:r>
                            <w:rPr>
                              <w:rStyle w:val="Hyperlink"/>
                              <w:rFonts w:ascii="Trebuchet MS" w:hAnsi="Trebuchet MS"/>
                              <w:b/>
                              <w:bCs/>
                              <w:color w:val="000000"/>
                              <w:sz w:val="17"/>
                              <w:szCs w:val="17"/>
                              <w:u w:val="none"/>
                            </w:rPr>
                            <w:t xml:space="preserve"> Trust, GB</w:t>
                          </w:r>
                          <w:r>
                            <w:rPr>
                              <w:rFonts w:ascii="Trebuchet MS" w:hAnsi="Trebuchet MS"/>
                              <w:sz w:val="17"/>
                              <w:szCs w:val="17"/>
                            </w:rPr>
                            <w:br/>
                          </w:r>
                          <w:r>
                            <w:rPr>
                              <w:rStyle w:val="Hyperlink"/>
                              <w:rFonts w:ascii="Trebuchet MS" w:hAnsi="Trebuchet MS"/>
                              <w:color w:val="000000"/>
                              <w:sz w:val="17"/>
                              <w:szCs w:val="17"/>
                              <w:u w:val="none"/>
                            </w:rPr>
                            <w:t xml:space="preserve">This scheme supports talented clinicians who have recently obtained a higher degree and wish to undertake a period of postdoctoral research training in the best laboratories in the UK and overseas. Awards last for up to three years with a maximum funding amount of £350,000 to cover a full clinical salary and research expenses.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27"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£350,000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09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8" w:history="1">
                          <w:r>
                            <w:rPr>
                              <w:rStyle w:val="Hyperlink"/>
                              <w:rFonts w:ascii="Trebuchet MS" w:hAnsi="Trebuchet MS"/>
                              <w:b/>
                              <w:bCs/>
                              <w:color w:val="000000"/>
                              <w:sz w:val="18"/>
                              <w:szCs w:val="18"/>
                              <w:u w:val="none"/>
                            </w:rPr>
                            <w:t>POSTDOCTORAL TRAINING FELLOWSHIPS FOR MB OR PHD GRADUATES IN BIOMEDICAL SCIENCE</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29" w:history="1">
                          <w:proofErr w:type="spellStart"/>
                          <w:r>
                            <w:rPr>
                              <w:rStyle w:val="Hyperlink"/>
                              <w:rFonts w:ascii="Trebuchet MS" w:hAnsi="Trebuchet MS"/>
                              <w:b/>
                              <w:bCs/>
                              <w:color w:val="000000"/>
                              <w:sz w:val="17"/>
                              <w:szCs w:val="17"/>
                              <w:u w:val="none"/>
                            </w:rPr>
                            <w:t>Wellcome</w:t>
                          </w:r>
                          <w:proofErr w:type="spellEnd"/>
                          <w:r>
                            <w:rPr>
                              <w:rStyle w:val="Hyperlink"/>
                              <w:rFonts w:ascii="Trebuchet MS" w:hAnsi="Trebuchet MS"/>
                              <w:b/>
                              <w:bCs/>
                              <w:color w:val="000000"/>
                              <w:sz w:val="17"/>
                              <w:szCs w:val="17"/>
                              <w:u w:val="none"/>
                            </w:rPr>
                            <w:t xml:space="preserve"> Trust, GB</w:t>
                          </w:r>
                          <w:r>
                            <w:rPr>
                              <w:rFonts w:ascii="Trebuchet MS" w:hAnsi="Trebuchet MS"/>
                              <w:sz w:val="17"/>
                              <w:szCs w:val="17"/>
                            </w:rPr>
                            <w:br/>
                          </w:r>
                          <w:r>
                            <w:rPr>
                              <w:rStyle w:val="Hyperlink"/>
                              <w:rFonts w:ascii="Trebuchet MS" w:hAnsi="Trebuchet MS"/>
                              <w:color w:val="000000"/>
                              <w:sz w:val="17"/>
                              <w:szCs w:val="17"/>
                              <w:u w:val="none"/>
                            </w:rPr>
                            <w:t xml:space="preserve">This scheme provides an opportunity for the most promising newly qualified MB or PhD graduates in biomedical sciences, or those who have achieved a high-quality PhD during or before starting their medical degree, to make an early start in developing their independent research careers. Fellowships are worth a maximum of £350,000 for a period of up to four years.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30"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€350,000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09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31" w:history="1">
                          <w:r>
                            <w:rPr>
                              <w:rStyle w:val="Hyperlink"/>
                              <w:rFonts w:ascii="Trebuchet MS" w:hAnsi="Trebuchet MS"/>
                              <w:b/>
                              <w:bCs/>
                              <w:color w:val="000000"/>
                              <w:sz w:val="18"/>
                              <w:szCs w:val="18"/>
                              <w:u w:val="none"/>
                            </w:rPr>
                            <w:t>SIR HENRY WELLCOME POSTDOCTORAL FELLOWSHIPS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32" w:history="1">
                          <w:proofErr w:type="spellStart"/>
                          <w:r>
                            <w:rPr>
                              <w:rStyle w:val="Hyperlink"/>
                              <w:rFonts w:ascii="Trebuchet MS" w:hAnsi="Trebuchet MS"/>
                              <w:b/>
                              <w:bCs/>
                              <w:color w:val="000000"/>
                              <w:sz w:val="17"/>
                              <w:szCs w:val="17"/>
                              <w:u w:val="none"/>
                            </w:rPr>
                            <w:t>Wellcome</w:t>
                          </w:r>
                          <w:proofErr w:type="spellEnd"/>
                          <w:r>
                            <w:rPr>
                              <w:rStyle w:val="Hyperlink"/>
                              <w:rFonts w:ascii="Trebuchet MS" w:hAnsi="Trebuchet MS"/>
                              <w:b/>
                              <w:bCs/>
                              <w:color w:val="000000"/>
                              <w:sz w:val="17"/>
                              <w:szCs w:val="17"/>
                              <w:u w:val="none"/>
                            </w:rPr>
                            <w:t xml:space="preserve"> Trust, GB</w:t>
                          </w:r>
                          <w:r>
                            <w:rPr>
                              <w:rFonts w:ascii="Trebuchet MS" w:hAnsi="Trebuchet MS"/>
                              <w:sz w:val="17"/>
                              <w:szCs w:val="17"/>
                            </w:rPr>
                            <w:br/>
                          </w:r>
                          <w:r>
                            <w:rPr>
                              <w:rStyle w:val="Hyperlink"/>
                              <w:rFonts w:ascii="Trebuchet MS" w:hAnsi="Trebuchet MS"/>
                              <w:color w:val="000000"/>
                              <w:sz w:val="17"/>
                              <w:szCs w:val="17"/>
                              <w:u w:val="none"/>
                            </w:rPr>
                            <w:t xml:space="preserve">These enable the most promising newly qualified postdoctoral researchers to make an early start in developing their independent research careers, working in the best laboratories in the UK and overseas. Fellowships provide £250,000 over four years, to cover salary and research expenses.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33"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£250,000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09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34" w:history="1">
                          <w:r>
                            <w:rPr>
                              <w:rStyle w:val="Hyperlink"/>
                              <w:rFonts w:ascii="Trebuchet MS" w:hAnsi="Trebuchet MS"/>
                              <w:b/>
                              <w:bCs/>
                              <w:color w:val="000000"/>
                              <w:sz w:val="18"/>
                              <w:szCs w:val="18"/>
                              <w:u w:val="none"/>
                            </w:rPr>
                            <w:t>RAMSAY MEMORIAL FELLOWSHIPS FOR POSTDOCTORAL CHEMICAL RESEARCH</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35" w:history="1">
                          <w:r>
                            <w:rPr>
                              <w:rStyle w:val="Hyperlink"/>
                              <w:rFonts w:ascii="Trebuchet MS" w:hAnsi="Trebuchet MS"/>
                              <w:b/>
                              <w:bCs/>
                              <w:color w:val="000000"/>
                              <w:sz w:val="17"/>
                              <w:szCs w:val="17"/>
                              <w:u w:val="none"/>
                            </w:rPr>
                            <w:t>Ramsay Memorial Fellowships Trust, GB</w:t>
                          </w:r>
                          <w:r>
                            <w:rPr>
                              <w:rFonts w:ascii="Trebuchet MS" w:hAnsi="Trebuchet MS"/>
                              <w:sz w:val="17"/>
                              <w:szCs w:val="17"/>
                            </w:rPr>
                            <w:br/>
                          </w:r>
                          <w:r>
                            <w:rPr>
                              <w:rStyle w:val="Hyperlink"/>
                              <w:rFonts w:ascii="Trebuchet MS" w:hAnsi="Trebuchet MS"/>
                              <w:color w:val="000000"/>
                              <w:sz w:val="17"/>
                              <w:szCs w:val="17"/>
                              <w:u w:val="none"/>
                            </w:rPr>
                            <w:t xml:space="preserve">This enables advanced students of chemical research to pursue their work in universities or other places of academic research in the UK. The fellowship will provide 50 per cent of the fellow’s salary costs up to a total of £15,000 per year. A grant of £1,000 per year is available for research expenses.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36"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£32,000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15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37" w:history="1">
                          <w:r>
                            <w:rPr>
                              <w:rStyle w:val="Hyperlink"/>
                              <w:rFonts w:ascii="Trebuchet MS" w:hAnsi="Trebuchet MS"/>
                              <w:b/>
                              <w:bCs/>
                              <w:color w:val="000000"/>
                              <w:sz w:val="18"/>
                              <w:szCs w:val="18"/>
                              <w:u w:val="none"/>
                            </w:rPr>
                            <w:t>EARLY CAREER GRANTS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38" w:history="1">
                          <w:r>
                            <w:rPr>
                              <w:rStyle w:val="Hyperlink"/>
                              <w:rFonts w:ascii="Trebuchet MS" w:hAnsi="Trebuchet MS"/>
                              <w:b/>
                              <w:bCs/>
                              <w:color w:val="000000"/>
                              <w:sz w:val="17"/>
                              <w:szCs w:val="17"/>
                              <w:u w:val="none"/>
                            </w:rPr>
                            <w:t>Society for Endocrinology, GB</w:t>
                          </w:r>
                          <w:r>
                            <w:rPr>
                              <w:rFonts w:ascii="Trebuchet MS" w:hAnsi="Trebuchet MS"/>
                              <w:sz w:val="17"/>
                              <w:szCs w:val="17"/>
                            </w:rPr>
                            <w:br/>
                          </w:r>
                          <w:r>
                            <w:rPr>
                              <w:rStyle w:val="Hyperlink"/>
                              <w:rFonts w:ascii="Trebuchet MS" w:hAnsi="Trebuchet MS"/>
                              <w:color w:val="000000"/>
                              <w:sz w:val="17"/>
                              <w:szCs w:val="17"/>
                              <w:u w:val="none"/>
                            </w:rPr>
                            <w:t xml:space="preserve">These may be awarded to young members of the society within no more than ten years of receiving their postgraduate degree. The maximum value of this grant is £10,000.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39"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£10,000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27 Nov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0" w:history="1">
                          <w:r>
                            <w:rPr>
                              <w:rStyle w:val="Hyperlink"/>
                              <w:rFonts w:ascii="Trebuchet MS" w:hAnsi="Trebuchet MS"/>
                              <w:b/>
                              <w:bCs/>
                              <w:color w:val="000000"/>
                              <w:sz w:val="18"/>
                              <w:szCs w:val="18"/>
                              <w:u w:val="none"/>
                            </w:rPr>
                            <w:t>TOSHIBA FELLOWSHIP PROGRAMME</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1" w:history="1">
                          <w:r>
                            <w:rPr>
                              <w:rStyle w:val="Hyperlink"/>
                              <w:rFonts w:ascii="Trebuchet MS" w:hAnsi="Trebuchet MS"/>
                              <w:b/>
                              <w:bCs/>
                              <w:color w:val="000000"/>
                              <w:sz w:val="17"/>
                              <w:szCs w:val="17"/>
                              <w:u w:val="none"/>
                            </w:rPr>
                            <w:t>Toshiba of Europe, GB</w:t>
                          </w:r>
                          <w:r>
                            <w:rPr>
                              <w:rFonts w:ascii="Trebuchet MS" w:hAnsi="Trebuchet MS"/>
                              <w:sz w:val="17"/>
                              <w:szCs w:val="17"/>
                            </w:rPr>
                            <w:br/>
                          </w:r>
                          <w:r>
                            <w:rPr>
                              <w:rStyle w:val="Hyperlink"/>
                              <w:rFonts w:ascii="Trebuchet MS" w:hAnsi="Trebuchet MS"/>
                              <w:color w:val="000000"/>
                              <w:sz w:val="17"/>
                              <w:szCs w:val="17"/>
                              <w:u w:val="none"/>
                            </w:rPr>
                            <w:t xml:space="preserve">This offers scientists an opportunity to join Toshiba's research and development laboratories in Japan, initially for one year. The successful fellow receives a package that includes relocation assistance to and from Japan, together with support and advice prior to and during their stay.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42"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07 Dec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3" w:history="1">
                          <w:r>
                            <w:rPr>
                              <w:rStyle w:val="Hyperlink"/>
                              <w:rFonts w:ascii="Trebuchet MS" w:hAnsi="Trebuchet MS"/>
                              <w:b/>
                              <w:bCs/>
                              <w:color w:val="000000"/>
                              <w:sz w:val="18"/>
                              <w:szCs w:val="18"/>
                              <w:u w:val="none"/>
                            </w:rPr>
                            <w:t>DOROTHY HODGKIN FELLOWSHIPS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4" w:history="1">
                          <w:r>
                            <w:rPr>
                              <w:rStyle w:val="Hyperlink"/>
                              <w:rFonts w:ascii="Trebuchet MS" w:hAnsi="Trebuchet MS"/>
                              <w:b/>
                              <w:bCs/>
                              <w:color w:val="000000"/>
                              <w:sz w:val="17"/>
                              <w:szCs w:val="17"/>
                              <w:u w:val="none"/>
                            </w:rPr>
                            <w:t>Royal Society, GB</w:t>
                          </w:r>
                          <w:r>
                            <w:rPr>
                              <w:rFonts w:ascii="Trebuchet MS" w:hAnsi="Trebuchet MS"/>
                              <w:sz w:val="17"/>
                              <w:szCs w:val="17"/>
                            </w:rPr>
                            <w:br/>
                          </w:r>
                          <w:r>
                            <w:rPr>
                              <w:rStyle w:val="Hyperlink"/>
                              <w:rFonts w:ascii="Trebuchet MS" w:hAnsi="Trebuchet MS"/>
                              <w:color w:val="000000"/>
                              <w:sz w:val="17"/>
                              <w:szCs w:val="17"/>
                              <w:u w:val="none"/>
                            </w:rPr>
                            <w:t xml:space="preserve">This scheme offers a recognised first step into an independent research career for excellent scientists and engineers who have a current need for flexible support. Fellowships are tenable for up to five years and provide funding to cover salary costs, estates costs and indirect costs.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45"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18 Jan 13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6" w:history="1">
                          <w:r>
                            <w:rPr>
                              <w:rStyle w:val="Hyperlink"/>
                              <w:rFonts w:ascii="Trebuchet MS" w:hAnsi="Trebuchet MS"/>
                              <w:b/>
                              <w:bCs/>
                              <w:color w:val="000000"/>
                              <w:sz w:val="18"/>
                              <w:szCs w:val="18"/>
                              <w:u w:val="none"/>
                            </w:rPr>
                            <w:t>JSPS/ROYAL SOCIETY POSTDOCTORAL FELLOWSHIP PROGRAMME</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7" w:history="1">
                          <w:r>
                            <w:rPr>
                              <w:rStyle w:val="Hyperlink"/>
                              <w:rFonts w:ascii="Trebuchet MS" w:hAnsi="Trebuchet MS"/>
                              <w:b/>
                              <w:bCs/>
                              <w:color w:val="000000"/>
                              <w:sz w:val="17"/>
                              <w:szCs w:val="17"/>
                              <w:u w:val="none"/>
                            </w:rPr>
                            <w:t>Royal Society, GB</w:t>
                          </w:r>
                          <w:r>
                            <w:rPr>
                              <w:rFonts w:ascii="Trebuchet MS" w:hAnsi="Trebuchet MS"/>
                              <w:sz w:val="17"/>
                              <w:szCs w:val="17"/>
                            </w:rPr>
                            <w:br/>
                          </w:r>
                          <w:r>
                            <w:rPr>
                              <w:rStyle w:val="Hyperlink"/>
                              <w:rFonts w:ascii="Trebuchet MS" w:hAnsi="Trebuchet MS"/>
                              <w:color w:val="000000"/>
                              <w:sz w:val="17"/>
                              <w:szCs w:val="17"/>
                              <w:u w:val="none"/>
                            </w:rPr>
                            <w:t xml:space="preserve">This provides opportunities for young postdoctoral researchers from other countries to conduct, under the guidance of their hosts, cooperative research with leading research groups in universities and other Japanese institutions. Fellowships provide subsistence worth ¥362,000 a month, a settling-in allowance of ¥200,000, return air fare and insurance.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48"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01 Mar 13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49" w:history="1">
                          <w:r>
                            <w:rPr>
                              <w:rStyle w:val="Hyperlink"/>
                              <w:rFonts w:ascii="Trebuchet MS" w:hAnsi="Trebuchet MS"/>
                              <w:b/>
                              <w:bCs/>
                              <w:color w:val="000000"/>
                              <w:sz w:val="18"/>
                              <w:szCs w:val="18"/>
                              <w:u w:val="none"/>
                            </w:rPr>
                            <w:t>WORK SHADOW PLACEMENTS</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50" w:history="1">
                          <w:r>
                            <w:rPr>
                              <w:rStyle w:val="Hyperlink"/>
                              <w:rFonts w:ascii="Trebuchet MS" w:hAnsi="Trebuchet MS"/>
                              <w:b/>
                              <w:bCs/>
                              <w:color w:val="000000"/>
                              <w:sz w:val="17"/>
                              <w:szCs w:val="17"/>
                              <w:u w:val="none"/>
                            </w:rPr>
                            <w:t>Natural Environment Research Council (NERC), GB</w:t>
                          </w:r>
                          <w:r>
                            <w:rPr>
                              <w:rFonts w:ascii="Trebuchet MS" w:hAnsi="Trebuchet MS"/>
                              <w:sz w:val="17"/>
                              <w:szCs w:val="17"/>
                            </w:rPr>
                            <w:br/>
                          </w:r>
                          <w:r>
                            <w:rPr>
                              <w:rStyle w:val="Hyperlink"/>
                              <w:rFonts w:ascii="Trebuchet MS" w:hAnsi="Trebuchet MS"/>
                              <w:color w:val="000000"/>
                              <w:sz w:val="17"/>
                              <w:szCs w:val="17"/>
                              <w:u w:val="none"/>
                            </w:rPr>
                            <w:t xml:space="preserve">This scheme provides opportunities for researchers to undertake a work shadow placement with a partner organisation that is a relevant user of NERC research, such as a government department, public agency or charity. Funding is available to cover travel and subsistence costs, up to a maximum of £2,000.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51"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£2,000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No deadline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225"/>
                    <w:gridCol w:w="8775"/>
                  </w:tblGrid>
                  <w:tr w:rsidR="00A93567">
                    <w:trPr>
                      <w:tblCellSpacing w:w="0" w:type="dxa"/>
                    </w:trPr>
                    <w:tc>
                      <w:tcPr>
                        <w:tcW w:w="225" w:type="dxa"/>
                        <w:vMerge w:val="restart"/>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52" w:history="1">
                          <w:r>
                            <w:rPr>
                              <w:rStyle w:val="Hyperlink"/>
                              <w:rFonts w:ascii="Trebuchet MS" w:hAnsi="Trebuchet MS"/>
                              <w:b/>
                              <w:bCs/>
                              <w:color w:val="000000"/>
                              <w:sz w:val="18"/>
                              <w:szCs w:val="18"/>
                              <w:u w:val="none"/>
                            </w:rPr>
                            <w:t>FP7 ERC STARTING GRANTS ERC-2013-STG</w:t>
                          </w:r>
                        </w:hyperlink>
                        <w:r>
                          <w:rPr>
                            <w:rFonts w:ascii="Trebuchet MS" w:hAnsi="Trebuchet MS"/>
                          </w:rPr>
                          <w:t xml:space="preserve"> </w:t>
                        </w:r>
                      </w:p>
                    </w:tc>
                  </w:tr>
                  <w:tr w:rsidR="00A93567">
                    <w:trPr>
                      <w:trHeight w:val="10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r w:rsidR="00A93567">
                    <w:trPr>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ascii="Trebuchet MS" w:hAnsi="Trebuchet MS"/>
                          </w:rPr>
                        </w:pPr>
                        <w:hyperlink r:id="rId53" w:history="1">
                          <w:r>
                            <w:rPr>
                              <w:rStyle w:val="Hyperlink"/>
                              <w:rFonts w:ascii="Trebuchet MS" w:hAnsi="Trebuchet MS"/>
                              <w:b/>
                              <w:bCs/>
                              <w:color w:val="000000"/>
                              <w:sz w:val="17"/>
                              <w:szCs w:val="17"/>
                              <w:u w:val="none"/>
                            </w:rPr>
                            <w:t>European Commission Framework Programme 7: European Research Council/Ideas, EU</w:t>
                          </w:r>
                          <w:r>
                            <w:rPr>
                              <w:rFonts w:ascii="Trebuchet MS" w:hAnsi="Trebuchet MS"/>
                              <w:sz w:val="17"/>
                              <w:szCs w:val="17"/>
                            </w:rPr>
                            <w:br/>
                          </w:r>
                          <w:r>
                            <w:rPr>
                              <w:rStyle w:val="Hyperlink"/>
                              <w:rFonts w:ascii="Trebuchet MS" w:hAnsi="Trebuchet MS"/>
                              <w:color w:val="000000"/>
                              <w:sz w:val="17"/>
                              <w:szCs w:val="17"/>
                              <w:u w:val="none"/>
                            </w:rPr>
                            <w:t xml:space="preserve">Proposals can be in the research domains of: physical sciences and engineering, to which 44 per cent of the budget is allocated; life </w:t>
                          </w:r>
                          <w:proofErr w:type="gramStart"/>
                          <w:r>
                            <w:rPr>
                              <w:rStyle w:val="Hyperlink"/>
                              <w:rFonts w:ascii="Trebuchet MS" w:hAnsi="Trebuchet MS"/>
                              <w:color w:val="000000"/>
                              <w:sz w:val="17"/>
                              <w:szCs w:val="17"/>
                              <w:u w:val="none"/>
                            </w:rPr>
                            <w:t>sciences, to which 39 per cent is allocated; and social sciences and humanities, to which 17 per cent is</w:t>
                          </w:r>
                          <w:proofErr w:type="gramEnd"/>
                          <w:r>
                            <w:rPr>
                              <w:rStyle w:val="Hyperlink"/>
                              <w:rFonts w:ascii="Trebuchet MS" w:hAnsi="Trebuchet MS"/>
                              <w:color w:val="000000"/>
                              <w:sz w:val="17"/>
                              <w:szCs w:val="17"/>
                              <w:u w:val="none"/>
                            </w:rPr>
                            <w:t xml:space="preserve"> allocated. The budget for this call is €398 million. </w:t>
                          </w:r>
                        </w:hyperlink>
                      </w:p>
                      <w:tbl>
                        <w:tblPr>
                          <w:tblW w:w="5000" w:type="pct"/>
                          <w:tblCellSpacing w:w="0" w:type="dxa"/>
                          <w:tblCellMar>
                            <w:left w:w="0" w:type="dxa"/>
                            <w:right w:w="0" w:type="dxa"/>
                          </w:tblCellMar>
                          <w:tblLook w:val="04A0" w:firstRow="1" w:lastRow="0" w:firstColumn="1" w:lastColumn="0" w:noHBand="0" w:noVBand="1"/>
                        </w:tblPr>
                        <w:tblGrid>
                          <w:gridCol w:w="8775"/>
                        </w:tblGrid>
                        <w:tr w:rsidR="00A93567">
                          <w:trPr>
                            <w:trHeight w:val="4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rPr>
                        </w:pPr>
                        <w:hyperlink r:id="rId54" w:history="1">
                          <w:r>
                            <w:rPr>
                              <w:rStyle w:val="Hyperlink"/>
                              <w:rFonts w:ascii="Trebuchet MS" w:hAnsi="Trebuchet MS"/>
                              <w:b/>
                              <w:bCs/>
                              <w:color w:val="000000"/>
                              <w:sz w:val="17"/>
                              <w:szCs w:val="17"/>
                              <w:u w:val="none"/>
                            </w:rPr>
                            <w:t>Award amount max:</w:t>
                          </w:r>
                          <w:r>
                            <w:rPr>
                              <w:rStyle w:val="Hyperlink"/>
                              <w:rFonts w:ascii="Trebuchet MS" w:hAnsi="Trebuchet MS"/>
                              <w:color w:val="000000"/>
                              <w:sz w:val="17"/>
                              <w:szCs w:val="17"/>
                              <w:u w:val="none"/>
                            </w:rPr>
                            <w:t xml:space="preserve"> Not specified </w:t>
                          </w:r>
                          <w:r>
                            <w:rPr>
                              <w:rStyle w:val="Hyperlink"/>
                              <w:rFonts w:ascii="Trebuchet MS" w:hAnsi="Trebuchet MS"/>
                              <w:b/>
                              <w:bCs/>
                              <w:color w:val="000000"/>
                              <w:sz w:val="17"/>
                              <w:szCs w:val="17"/>
                              <w:u w:val="none"/>
                            </w:rPr>
                            <w:t>Closing date:</w:t>
                          </w:r>
                          <w:r>
                            <w:rPr>
                              <w:rStyle w:val="Hyperlink"/>
                              <w:rFonts w:ascii="Trebuchet MS" w:hAnsi="Trebuchet MS"/>
                              <w:color w:val="000000"/>
                              <w:sz w:val="17"/>
                              <w:szCs w:val="17"/>
                              <w:u w:val="none"/>
                            </w:rPr>
                            <w:t xml:space="preserve"> 17 Oct 12 </w:t>
                          </w:r>
                          <w:r>
                            <w:rPr>
                              <w:rStyle w:val="Hyperlink"/>
                              <w:rFonts w:ascii="Trebuchet MS" w:hAnsi="Trebuchet MS"/>
                              <w:b/>
                              <w:bCs/>
                              <w:color w:val="0000CC"/>
                              <w:sz w:val="17"/>
                              <w:szCs w:val="17"/>
                              <w:u w:val="none"/>
                            </w:rPr>
                            <w:t>MORE &gt;&gt;&gt;</w:t>
                          </w:r>
                          <w:r>
                            <w:rPr>
                              <w:rFonts w:ascii="Trebuchet MS" w:hAnsi="Trebuchet MS"/>
                              <w:sz w:val="17"/>
                              <w:szCs w:val="17"/>
                            </w:rPr>
                            <w:br/>
                          </w:r>
                        </w:hyperlink>
                      </w:p>
                    </w:tc>
                  </w:tr>
                  <w:tr w:rsidR="00A93567">
                    <w:trPr>
                      <w:trHeight w:val="225"/>
                      <w:tblCellSpacing w:w="0" w:type="dxa"/>
                    </w:trPr>
                    <w:tc>
                      <w:tcPr>
                        <w:tcW w:w="0" w:type="auto"/>
                        <w:vMerge/>
                        <w:vAlign w:val="center"/>
                        <w:hideMark/>
                      </w:tcPr>
                      <w:p w:rsidR="00A93567" w:rsidRDefault="00A93567">
                        <w:pPr>
                          <w:rPr>
                            <w:rFonts w:eastAsia="Times New Roman"/>
                            <w:color w:val="auto"/>
                            <w:sz w:val="20"/>
                            <w:szCs w:val="20"/>
                          </w:rPr>
                        </w:pPr>
                      </w:p>
                    </w:tc>
                    <w:tc>
                      <w:tcPr>
                        <w:tcW w:w="0" w:type="auto"/>
                        <w:vAlign w:val="center"/>
                        <w:hideMark/>
                      </w:tcPr>
                      <w:p w:rsidR="00A93567" w:rsidRDefault="00A93567">
                        <w:pPr>
                          <w:rPr>
                            <w:rFonts w:eastAsia="Times New Roman"/>
                            <w:color w:val="auto"/>
                            <w:sz w:val="20"/>
                            <w:szCs w:val="20"/>
                          </w:rPr>
                        </w:pPr>
                      </w:p>
                    </w:tc>
                  </w:tr>
                </w:tbl>
                <w:p w:rsidR="00A93567" w:rsidRDefault="00A93567">
                  <w:pPr>
                    <w:rPr>
                      <w:rFonts w:eastAsia="Times New Roman"/>
                      <w:color w:val="auto"/>
                    </w:rPr>
                  </w:pPr>
                </w:p>
              </w:tc>
            </w:tr>
          </w:tbl>
          <w:p w:rsidR="00A93567" w:rsidRDefault="00A93567">
            <w:pPr>
              <w:rPr>
                <w:rFonts w:ascii="Trebuchet MS" w:hAnsi="Trebuchet MS"/>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A93567">
              <w:trPr>
                <w:trHeight w:val="375"/>
                <w:tblCellSpacing w:w="0" w:type="dxa"/>
              </w:trPr>
              <w:tc>
                <w:tcPr>
                  <w:tcW w:w="0" w:type="auto"/>
                  <w:vAlign w:val="center"/>
                  <w:hideMark/>
                </w:tcPr>
                <w:p w:rsidR="00A93567" w:rsidRDefault="00A93567">
                  <w:pPr>
                    <w:rPr>
                      <w:rFonts w:eastAsia="Times New Roman"/>
                      <w:color w:val="auto"/>
                      <w:sz w:val="20"/>
                      <w:szCs w:val="20"/>
                    </w:rPr>
                  </w:pPr>
                </w:p>
              </w:tc>
            </w:tr>
          </w:tbl>
          <w:p w:rsidR="00A93567" w:rsidRDefault="00A93567">
            <w:pPr>
              <w:rPr>
                <w:rFonts w:ascii="Trebuchet MS" w:hAnsi="Trebuchet MS"/>
                <w:vanish/>
              </w:rPr>
            </w:pPr>
          </w:p>
          <w:tbl>
            <w:tblPr>
              <w:tblW w:w="0" w:type="auto"/>
              <w:tblCellSpacing w:w="0" w:type="dxa"/>
              <w:shd w:val="clear" w:color="auto" w:fill="CED9DD"/>
              <w:tblCellMar>
                <w:left w:w="0" w:type="dxa"/>
                <w:right w:w="0" w:type="dxa"/>
              </w:tblCellMar>
              <w:tblLook w:val="04A0" w:firstRow="1" w:lastRow="0" w:firstColumn="1" w:lastColumn="0" w:noHBand="0" w:noVBand="1"/>
            </w:tblPr>
            <w:tblGrid>
              <w:gridCol w:w="195"/>
              <w:gridCol w:w="6660"/>
              <w:gridCol w:w="375"/>
              <w:gridCol w:w="1575"/>
              <w:gridCol w:w="195"/>
            </w:tblGrid>
            <w:tr w:rsidR="00A93567" w:rsidTr="00A93567">
              <w:trPr>
                <w:trHeight w:val="225"/>
                <w:tblCellSpacing w:w="0" w:type="dxa"/>
              </w:trPr>
              <w:tc>
                <w:tcPr>
                  <w:tcW w:w="0" w:type="auto"/>
                  <w:gridSpan w:val="5"/>
                  <w:shd w:val="clear" w:color="auto" w:fill="CED9DD"/>
                  <w:vAlign w:val="center"/>
                </w:tcPr>
                <w:p w:rsidR="00A93567" w:rsidRDefault="00A93567">
                  <w:pPr>
                    <w:rPr>
                      <w:rFonts w:eastAsia="Times New Roman"/>
                      <w:color w:val="auto"/>
                      <w:sz w:val="20"/>
                      <w:szCs w:val="20"/>
                    </w:rPr>
                  </w:pPr>
                </w:p>
              </w:tc>
            </w:tr>
            <w:tr w:rsidR="00A93567" w:rsidTr="00A93567">
              <w:trPr>
                <w:tblCellSpacing w:w="0" w:type="dxa"/>
              </w:trPr>
              <w:tc>
                <w:tcPr>
                  <w:tcW w:w="195" w:type="dxa"/>
                  <w:shd w:val="clear" w:color="auto" w:fill="CED9DD"/>
                </w:tcPr>
                <w:p w:rsidR="00A93567" w:rsidRDefault="00A93567">
                  <w:pPr>
                    <w:rPr>
                      <w:rFonts w:eastAsia="Times New Roman"/>
                      <w:color w:val="auto"/>
                      <w:sz w:val="20"/>
                      <w:szCs w:val="20"/>
                    </w:rPr>
                  </w:pPr>
                  <w:bookmarkStart w:id="0" w:name="_GoBack"/>
                  <w:bookmarkEnd w:id="0"/>
                </w:p>
              </w:tc>
              <w:tc>
                <w:tcPr>
                  <w:tcW w:w="6660" w:type="dxa"/>
                  <w:shd w:val="clear" w:color="auto" w:fill="CED9DD"/>
                </w:tcPr>
                <w:p w:rsidR="00A93567" w:rsidRDefault="00A93567">
                  <w:pPr>
                    <w:rPr>
                      <w:rFonts w:ascii="Trebuchet MS" w:hAnsi="Trebuchet MS"/>
                    </w:rPr>
                  </w:pPr>
                </w:p>
              </w:tc>
              <w:tc>
                <w:tcPr>
                  <w:tcW w:w="375" w:type="dxa"/>
                  <w:shd w:val="clear" w:color="auto" w:fill="CED9DD"/>
                </w:tcPr>
                <w:p w:rsidR="00A93567" w:rsidRDefault="00A93567">
                  <w:pPr>
                    <w:rPr>
                      <w:rFonts w:eastAsia="Times New Roman"/>
                      <w:color w:val="auto"/>
                      <w:sz w:val="20"/>
                      <w:szCs w:val="20"/>
                    </w:rPr>
                  </w:pPr>
                </w:p>
              </w:tc>
              <w:tc>
                <w:tcPr>
                  <w:tcW w:w="1575" w:type="dxa"/>
                  <w:shd w:val="clear" w:color="auto" w:fill="CED9DD"/>
                </w:tcPr>
                <w:p w:rsidR="00A93567" w:rsidRDefault="00A93567">
                  <w:pPr>
                    <w:rPr>
                      <w:rFonts w:ascii="Trebuchet MS" w:hAnsi="Trebuchet MS"/>
                    </w:rPr>
                  </w:pPr>
                </w:p>
              </w:tc>
              <w:tc>
                <w:tcPr>
                  <w:tcW w:w="195" w:type="dxa"/>
                  <w:shd w:val="clear" w:color="auto" w:fill="CED9DD"/>
                </w:tcPr>
                <w:p w:rsidR="00A93567" w:rsidRDefault="00A93567">
                  <w:pPr>
                    <w:rPr>
                      <w:rFonts w:eastAsia="Times New Roman"/>
                      <w:color w:val="auto"/>
                      <w:sz w:val="20"/>
                      <w:szCs w:val="20"/>
                    </w:rPr>
                  </w:pPr>
                </w:p>
              </w:tc>
            </w:tr>
            <w:tr w:rsidR="00A93567" w:rsidTr="00A93567">
              <w:trPr>
                <w:trHeight w:val="450"/>
                <w:tblCellSpacing w:w="0" w:type="dxa"/>
              </w:trPr>
              <w:tc>
                <w:tcPr>
                  <w:tcW w:w="0" w:type="auto"/>
                  <w:gridSpan w:val="5"/>
                  <w:shd w:val="clear" w:color="auto" w:fill="CED9DD"/>
                  <w:vAlign w:val="center"/>
                </w:tcPr>
                <w:p w:rsidR="00A93567" w:rsidRDefault="00A93567">
                  <w:pPr>
                    <w:rPr>
                      <w:rFonts w:eastAsia="Times New Roman"/>
                      <w:color w:val="auto"/>
                      <w:sz w:val="20"/>
                      <w:szCs w:val="20"/>
                    </w:rPr>
                  </w:pPr>
                </w:p>
              </w:tc>
            </w:tr>
          </w:tbl>
          <w:p w:rsidR="00A93567" w:rsidRDefault="00A93567">
            <w:pPr>
              <w:rPr>
                <w:rFonts w:eastAsia="Times New Roman"/>
                <w:color w:val="auto"/>
              </w:rPr>
            </w:pPr>
          </w:p>
        </w:tc>
      </w:tr>
    </w:tbl>
    <w:p w:rsidR="000C29BE" w:rsidRDefault="000C29BE"/>
    <w:sectPr w:rsidR="000C2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67"/>
    <w:rsid w:val="000C29BE"/>
    <w:rsid w:val="00A93567"/>
    <w:rsid w:val="00EB5C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67"/>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567"/>
    <w:rPr>
      <w:color w:val="0000FF"/>
      <w:u w:val="single"/>
    </w:rPr>
  </w:style>
  <w:style w:type="paragraph" w:styleId="BalloonText">
    <w:name w:val="Balloon Text"/>
    <w:basedOn w:val="Normal"/>
    <w:link w:val="BalloonTextChar"/>
    <w:uiPriority w:val="99"/>
    <w:semiHidden/>
    <w:unhideWhenUsed/>
    <w:rsid w:val="00A93567"/>
    <w:rPr>
      <w:rFonts w:ascii="Tahoma" w:hAnsi="Tahoma" w:cs="Tahoma"/>
      <w:sz w:val="16"/>
      <w:szCs w:val="16"/>
    </w:rPr>
  </w:style>
  <w:style w:type="character" w:customStyle="1" w:styleId="BalloonTextChar">
    <w:name w:val="Balloon Text Char"/>
    <w:basedOn w:val="DefaultParagraphFont"/>
    <w:link w:val="BalloonText"/>
    <w:uiPriority w:val="99"/>
    <w:semiHidden/>
    <w:rsid w:val="00A9356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67"/>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567"/>
    <w:rPr>
      <w:color w:val="0000FF"/>
      <w:u w:val="single"/>
    </w:rPr>
  </w:style>
  <w:style w:type="paragraph" w:styleId="BalloonText">
    <w:name w:val="Balloon Text"/>
    <w:basedOn w:val="Normal"/>
    <w:link w:val="BalloonTextChar"/>
    <w:uiPriority w:val="99"/>
    <w:semiHidden/>
    <w:unhideWhenUsed/>
    <w:rsid w:val="00A93567"/>
    <w:rPr>
      <w:rFonts w:ascii="Tahoma" w:hAnsi="Tahoma" w:cs="Tahoma"/>
      <w:sz w:val="16"/>
      <w:szCs w:val="16"/>
    </w:rPr>
  </w:style>
  <w:style w:type="character" w:customStyle="1" w:styleId="BalloonTextChar">
    <w:name w:val="Balloon Text Char"/>
    <w:basedOn w:val="DefaultParagraphFont"/>
    <w:link w:val="BalloonText"/>
    <w:uiPriority w:val="99"/>
    <w:semiHidden/>
    <w:rsid w:val="00A9356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earchprofessional.com/funding/opportunity/245713" TargetMode="External"/><Relationship Id="rId18" Type="http://schemas.openxmlformats.org/officeDocument/2006/relationships/hyperlink" Target="http://www.researchprofessional.com/funding/opportunity/1100485" TargetMode="External"/><Relationship Id="rId26" Type="http://schemas.openxmlformats.org/officeDocument/2006/relationships/hyperlink" Target="http://www.researchprofessional.com/funding/opportunity/1117215" TargetMode="External"/><Relationship Id="rId39" Type="http://schemas.openxmlformats.org/officeDocument/2006/relationships/hyperlink" Target="http://www.researchprofessional.com/funding/opportunity/1125834" TargetMode="External"/><Relationship Id="rId21" Type="http://schemas.openxmlformats.org/officeDocument/2006/relationships/hyperlink" Target="http://www.researchprofessional.com/funding/opportunity/250733" TargetMode="External"/><Relationship Id="rId34" Type="http://schemas.openxmlformats.org/officeDocument/2006/relationships/hyperlink" Target="http://www.researchprofessional.com/funding/opportunity/245301" TargetMode="External"/><Relationship Id="rId42" Type="http://schemas.openxmlformats.org/officeDocument/2006/relationships/hyperlink" Target="http://www.researchprofessional.com/funding/opportunity/245362" TargetMode="External"/><Relationship Id="rId47" Type="http://schemas.openxmlformats.org/officeDocument/2006/relationships/hyperlink" Target="http://www.researchprofessional.com/funding/opportunity/808147" TargetMode="External"/><Relationship Id="rId50" Type="http://schemas.openxmlformats.org/officeDocument/2006/relationships/hyperlink" Target="http://www.researchprofessional.com/funding/opportunity/984787" TargetMode="External"/><Relationship Id="rId55" Type="http://schemas.openxmlformats.org/officeDocument/2006/relationships/fontTable" Target="fontTable.xml"/><Relationship Id="rId7" Type="http://schemas.openxmlformats.org/officeDocument/2006/relationships/hyperlink" Target="http://www.researchprofessional.com/funding/opportunity/585873" TargetMode="External"/><Relationship Id="rId12" Type="http://schemas.openxmlformats.org/officeDocument/2006/relationships/hyperlink" Target="http://www.researchprofessional.com/funding/opportunity/253459" TargetMode="External"/><Relationship Id="rId17" Type="http://schemas.openxmlformats.org/officeDocument/2006/relationships/hyperlink" Target="http://www.researchprofessional.com/funding/opportunity/1100485" TargetMode="External"/><Relationship Id="rId25" Type="http://schemas.openxmlformats.org/officeDocument/2006/relationships/hyperlink" Target="http://www.researchprofessional.com/funding/opportunity/1117215" TargetMode="External"/><Relationship Id="rId33" Type="http://schemas.openxmlformats.org/officeDocument/2006/relationships/hyperlink" Target="http://www.researchprofessional.com/funding/opportunity/256755" TargetMode="External"/><Relationship Id="rId38" Type="http://schemas.openxmlformats.org/officeDocument/2006/relationships/hyperlink" Target="http://www.researchprofessional.com/funding/opportunity/1125834" TargetMode="External"/><Relationship Id="rId46" Type="http://schemas.openxmlformats.org/officeDocument/2006/relationships/hyperlink" Target="http://www.researchprofessional.com/funding/opportunity/808147" TargetMode="External"/><Relationship Id="rId2" Type="http://schemas.microsoft.com/office/2007/relationships/stylesWithEffects" Target="stylesWithEffects.xml"/><Relationship Id="rId16" Type="http://schemas.openxmlformats.org/officeDocument/2006/relationships/hyperlink" Target="http://www.researchprofessional.com/funding/opportunity/1100485" TargetMode="External"/><Relationship Id="rId20" Type="http://schemas.openxmlformats.org/officeDocument/2006/relationships/hyperlink" Target="http://www.researchprofessional.com/funding/opportunity/250733" TargetMode="External"/><Relationship Id="rId29" Type="http://schemas.openxmlformats.org/officeDocument/2006/relationships/hyperlink" Target="http://www.researchprofessional.com/funding/opportunity/596468" TargetMode="External"/><Relationship Id="rId41" Type="http://schemas.openxmlformats.org/officeDocument/2006/relationships/hyperlink" Target="http://www.researchprofessional.com/funding/opportunity/245362" TargetMode="External"/><Relationship Id="rId54" Type="http://schemas.openxmlformats.org/officeDocument/2006/relationships/hyperlink" Target="http://www.researchprofessional.com/funding/opportunity/1209461"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researchprofessional.com/funding/opportunity/253459" TargetMode="External"/><Relationship Id="rId24" Type="http://schemas.openxmlformats.org/officeDocument/2006/relationships/hyperlink" Target="http://www.researchprofessional.com/funding/opportunity/1165624" TargetMode="External"/><Relationship Id="rId32" Type="http://schemas.openxmlformats.org/officeDocument/2006/relationships/hyperlink" Target="http://www.researchprofessional.com/funding/opportunity/256755" TargetMode="External"/><Relationship Id="rId37" Type="http://schemas.openxmlformats.org/officeDocument/2006/relationships/hyperlink" Target="http://www.researchprofessional.com/funding/opportunity/1125834" TargetMode="External"/><Relationship Id="rId40" Type="http://schemas.openxmlformats.org/officeDocument/2006/relationships/hyperlink" Target="http://www.researchprofessional.com/funding/opportunity/245362" TargetMode="External"/><Relationship Id="rId45" Type="http://schemas.openxmlformats.org/officeDocument/2006/relationships/hyperlink" Target="http://www.researchprofessional.com/funding/opportunity/253117" TargetMode="External"/><Relationship Id="rId53" Type="http://schemas.openxmlformats.org/officeDocument/2006/relationships/hyperlink" Target="http://www.researchprofessional.com/funding/opportunity/1209461" TargetMode="External"/><Relationship Id="rId5" Type="http://schemas.openxmlformats.org/officeDocument/2006/relationships/image" Target="media/image1.gif"/><Relationship Id="rId15" Type="http://schemas.openxmlformats.org/officeDocument/2006/relationships/hyperlink" Target="http://www.researchprofessional.com/funding/opportunity/245713" TargetMode="External"/><Relationship Id="rId23" Type="http://schemas.openxmlformats.org/officeDocument/2006/relationships/hyperlink" Target="http://www.researchprofessional.com/funding/opportunity/1165624" TargetMode="External"/><Relationship Id="rId28" Type="http://schemas.openxmlformats.org/officeDocument/2006/relationships/hyperlink" Target="http://www.researchprofessional.com/funding/opportunity/596468" TargetMode="External"/><Relationship Id="rId36" Type="http://schemas.openxmlformats.org/officeDocument/2006/relationships/hyperlink" Target="http://www.researchprofessional.com/funding/opportunity/245301" TargetMode="External"/><Relationship Id="rId49" Type="http://schemas.openxmlformats.org/officeDocument/2006/relationships/hyperlink" Target="http://www.researchprofessional.com/funding/opportunity/984787" TargetMode="External"/><Relationship Id="rId10" Type="http://schemas.openxmlformats.org/officeDocument/2006/relationships/hyperlink" Target="http://www.researchprofessional.com/funding/opportunity/253459" TargetMode="External"/><Relationship Id="rId19" Type="http://schemas.openxmlformats.org/officeDocument/2006/relationships/hyperlink" Target="http://www.researchprofessional.com/funding/opportunity/250733" TargetMode="External"/><Relationship Id="rId31" Type="http://schemas.openxmlformats.org/officeDocument/2006/relationships/hyperlink" Target="http://www.researchprofessional.com/funding/opportunity/256755" TargetMode="External"/><Relationship Id="rId44" Type="http://schemas.openxmlformats.org/officeDocument/2006/relationships/hyperlink" Target="http://www.researchprofessional.com/funding/opportunity/253117" TargetMode="External"/><Relationship Id="rId52" Type="http://schemas.openxmlformats.org/officeDocument/2006/relationships/hyperlink" Target="http://www.researchprofessional.com/funding/opportunity/1209461" TargetMode="External"/><Relationship Id="rId4" Type="http://schemas.openxmlformats.org/officeDocument/2006/relationships/webSettings" Target="webSettings.xml"/><Relationship Id="rId9" Type="http://schemas.openxmlformats.org/officeDocument/2006/relationships/hyperlink" Target="http://www.researchprofessional.com/funding/opportunity/585873" TargetMode="External"/><Relationship Id="rId14" Type="http://schemas.openxmlformats.org/officeDocument/2006/relationships/hyperlink" Target="http://www.researchprofessional.com/funding/opportunity/245713" TargetMode="External"/><Relationship Id="rId22" Type="http://schemas.openxmlformats.org/officeDocument/2006/relationships/hyperlink" Target="http://www.researchprofessional.com/funding/opportunity/1165624" TargetMode="External"/><Relationship Id="rId27" Type="http://schemas.openxmlformats.org/officeDocument/2006/relationships/hyperlink" Target="http://www.researchprofessional.com/funding/opportunity/1117215" TargetMode="External"/><Relationship Id="rId30" Type="http://schemas.openxmlformats.org/officeDocument/2006/relationships/hyperlink" Target="http://www.researchprofessional.com/funding/opportunity/596468" TargetMode="External"/><Relationship Id="rId35" Type="http://schemas.openxmlformats.org/officeDocument/2006/relationships/hyperlink" Target="http://www.researchprofessional.com/funding/opportunity/245301" TargetMode="External"/><Relationship Id="rId43" Type="http://schemas.openxmlformats.org/officeDocument/2006/relationships/hyperlink" Target="http://www.researchprofessional.com/funding/opportunity/253117" TargetMode="External"/><Relationship Id="rId48" Type="http://schemas.openxmlformats.org/officeDocument/2006/relationships/hyperlink" Target="http://www.researchprofessional.com/funding/opportunity/808147" TargetMode="External"/><Relationship Id="rId56" Type="http://schemas.openxmlformats.org/officeDocument/2006/relationships/theme" Target="theme/theme1.xml"/><Relationship Id="rId8" Type="http://schemas.openxmlformats.org/officeDocument/2006/relationships/hyperlink" Target="http://www.researchprofessional.com/funding/opportunity/585873" TargetMode="External"/><Relationship Id="rId51" Type="http://schemas.openxmlformats.org/officeDocument/2006/relationships/hyperlink" Target="http://www.researchprofessional.com/funding/opportunity/9847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Holden-Dye L.M.</dc:creator>
  <cp:lastModifiedBy>Holden-Dye L.M.</cp:lastModifiedBy>
  <cp:revision>2</cp:revision>
  <dcterms:created xsi:type="dcterms:W3CDTF">2012-10-04T09:29:00Z</dcterms:created>
  <dcterms:modified xsi:type="dcterms:W3CDTF">2012-10-04T09:31:00Z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-2012000527</vt:i4>
  </property>
  <property fmtid="{D5CDD505-2E9C-101B-9397-08002B2CF9AE}" pid="3" name="_NewReviewCycle">
    <vt:lpwstr/>
  </property>
  <property fmtid="{D5CDD505-2E9C-101B-9397-08002B2CF9AE}" pid="4" name="_EmailSubject">
    <vt:lpwstr>ecr funding</vt:lpwstr>
  </property>
  <property fmtid="{D5CDD505-2E9C-101B-9397-08002B2CF9AE}" pid="5" name="_AuthorEmail">
    <vt:lpwstr>L.M.Holden-Dye@soton.ac.uk</vt:lpwstr>
  </property>
  <property fmtid="{D5CDD505-2E9C-101B-9397-08002B2CF9AE}" pid="6" name="_AuthorEmailDisplayName">
    <vt:lpwstr>Holden-Dye L.M.</vt:lpwstr>
  </property>
</Properties>
</file>